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800080"/>
          <w:sz w:val="52"/>
        </w:rPr>
      </w:pPr>
      <w:r>
        <w:rPr>
          <w:rFonts w:hint="eastAsia"/>
          <w:b/>
          <w:bCs/>
          <w:color w:val="800080"/>
          <w:sz w:val="52"/>
        </w:rPr>
        <w:t>南 开 大 学 物 理 科 学 学 院</w:t>
      </w:r>
    </w:p>
    <w:p>
      <w:pPr>
        <w:jc w:val="center"/>
        <w:rPr>
          <w:b/>
          <w:bCs/>
          <w:sz w:val="32"/>
        </w:rPr>
      </w:pPr>
      <w:r>
        <w:rPr>
          <w:b/>
          <w:bCs/>
          <w:color w:val="0000FF"/>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257800" cy="0"/>
                <wp:effectExtent l="22860" t="21590" r="24765" b="26035"/>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8100" cmpd="dbl">
                          <a:solidFill>
                            <a:srgbClr val="800080"/>
                          </a:solidFill>
                          <a:round/>
                        </a:ln>
                      </wps:spPr>
                      <wps:bodyPr/>
                    </wps:wsp>
                  </a:graphicData>
                </a:graphic>
              </wp:anchor>
            </w:drawing>
          </mc:Choice>
          <mc:Fallback>
            <w:pict>
              <v:line id="直线 2" o:spid="_x0000_s1026" o:spt="20" style="position:absolute;left:0pt;margin-left:9pt;margin-top:15.6pt;height:0pt;width:414pt;z-index:251659264;mso-width-relative:page;mso-height-relative:page;" filled="f" stroked="t" coordsize="21600,21600" o:gfxdata="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41jJ0wAAAAgBAAAPAAAAAAAA&#10;AAEAIAAAACIAAABkcnMvZG93bnJldi54bWxQSwECFAAUAAAACACHTuJAYv4+gd4BAACtAwAADgAA&#10;AAAAAAABACAAAAAiAQAAZHJzL2Uyb0RvYy54bWxQSwUGAAAAAAYABgBZAQAAcgUAAAAA&#10;">
                <v:fill on="f" focussize="0,0"/>
                <v:stroke weight="3pt" color="#800080" linestyle="thinThin" joinstyle="round"/>
                <v:imagedata o:title=""/>
                <o:lock v:ext="edit" aspectratio="f"/>
              </v:line>
            </w:pict>
          </mc:Fallback>
        </mc:AlternateContent>
      </w:r>
    </w:p>
    <w:p>
      <w:pPr>
        <w:jc w:val="center"/>
        <w:rPr>
          <w:b/>
          <w:bCs/>
          <w:sz w:val="36"/>
          <w:szCs w:val="36"/>
        </w:rPr>
      </w:pPr>
      <w:bookmarkStart w:id="0" w:name="OLE_LINK1"/>
    </w:p>
    <w:p>
      <w:pPr>
        <w:snapToGrid w:val="0"/>
        <w:spacing w:line="300" w:lineRule="auto"/>
        <w:jc w:val="center"/>
        <w:rPr>
          <w:b/>
          <w:bCs/>
          <w:sz w:val="36"/>
          <w:szCs w:val="36"/>
        </w:rPr>
      </w:pPr>
      <w:r>
        <w:rPr>
          <w:rFonts w:hint="eastAsia"/>
          <w:b/>
          <w:bCs/>
          <w:sz w:val="36"/>
          <w:szCs w:val="36"/>
        </w:rPr>
        <w:t>南开大学物理科学学院推荐优秀应届本科毕业生免试攻读研究生工作细则</w:t>
      </w:r>
    </w:p>
    <w:bookmarkEnd w:id="0"/>
    <w:p>
      <w:pPr>
        <w:spacing w:line="360" w:lineRule="auto"/>
        <w:jc w:val="both"/>
        <w:rPr>
          <w:rFonts w:ascii="宋体" w:hAnsi="宋体"/>
        </w:rPr>
      </w:pPr>
    </w:p>
    <w:p>
      <w:pPr>
        <w:pStyle w:val="14"/>
        <w:numPr>
          <w:ilvl w:val="0"/>
          <w:numId w:val="1"/>
        </w:numPr>
        <w:spacing w:line="360" w:lineRule="auto"/>
        <w:ind w:firstLineChars="0"/>
        <w:jc w:val="both"/>
        <w:rPr>
          <w:rFonts w:ascii="宋体" w:hAnsi="宋体"/>
        </w:rPr>
      </w:pPr>
      <w:r>
        <w:rPr>
          <w:rFonts w:hint="eastAsia"/>
        </w:rPr>
        <w:t>推免工作的指导思想和工作原则：</w:t>
      </w:r>
    </w:p>
    <w:p>
      <w:pPr>
        <w:spacing w:line="360" w:lineRule="auto"/>
        <w:ind w:firstLine="480" w:firstLineChars="200"/>
        <w:jc w:val="both"/>
        <w:rPr>
          <w:rFonts w:ascii="宋体" w:hAnsi="宋体"/>
        </w:rPr>
      </w:pPr>
      <w:r>
        <w:rPr>
          <w:rFonts w:hint="eastAsia" w:ascii="宋体" w:hAnsi="宋体"/>
        </w:rPr>
        <w:t>根据《</w:t>
      </w:r>
      <w:r>
        <w:rPr>
          <w:rFonts w:ascii="宋体" w:hAnsi="宋体"/>
        </w:rPr>
        <w:t>南开大学推荐优秀应届本科毕业生免试攻读研究生工作实施办法</w:t>
      </w:r>
      <w:r>
        <w:rPr>
          <w:rFonts w:hint="eastAsia" w:ascii="宋体" w:hAnsi="宋体"/>
        </w:rPr>
        <w:t>》（南党发〔</w:t>
      </w:r>
      <w:r>
        <w:rPr>
          <w:rFonts w:ascii="宋体" w:hAnsi="宋体"/>
        </w:rPr>
        <w:t>2021</w:t>
      </w:r>
      <w:r>
        <w:rPr>
          <w:rFonts w:hint="eastAsia" w:ascii="宋体" w:hAnsi="宋体"/>
        </w:rPr>
        <w:t>〕</w:t>
      </w:r>
      <w:r>
        <w:rPr>
          <w:rFonts w:ascii="宋体" w:hAnsi="宋体"/>
        </w:rPr>
        <w:t xml:space="preserve">63 </w:t>
      </w:r>
      <w:r>
        <w:rPr>
          <w:rFonts w:hint="eastAsia" w:ascii="宋体" w:hAnsi="宋体"/>
        </w:rPr>
        <w:t>号）的相关规定，结合学院实际，制定本细则。本细则所称“免试”，是指我院应届本科毕业生不必经过全国硕士研究生入学统一考试的初试，直接进入复试；本细则所称“推荐”，是指我院按照细则对本院优秀应届本科毕业生进行遴选，确认其免初试资格并向招生单位推荐（以下简称“推免”）。</w:t>
      </w:r>
    </w:p>
    <w:p>
      <w:pPr>
        <w:spacing w:line="360" w:lineRule="auto"/>
        <w:ind w:firstLine="480" w:firstLineChars="200"/>
        <w:jc w:val="both"/>
        <w:rPr>
          <w:rFonts w:ascii="宋体" w:hAnsi="宋体"/>
        </w:rPr>
      </w:pPr>
      <w:r>
        <w:rPr>
          <w:rFonts w:hint="eastAsia" w:ascii="宋体" w:hAnsi="宋体"/>
        </w:rPr>
        <w:t>推免工作，一是要贯彻公平的原则，公开透明，规范操作；二是要贯彻择优的原则，坚持德智体美劳全面衡量，以德为先，努力提高人才遴选过程的科学化水平，形成激励本科学生勤奋学习、勇于创新、全面发展的正确导向。</w:t>
      </w:r>
    </w:p>
    <w:p>
      <w:pPr>
        <w:pStyle w:val="2"/>
        <w:numPr>
          <w:ilvl w:val="0"/>
          <w:numId w:val="1"/>
        </w:numPr>
        <w:spacing w:line="360" w:lineRule="auto"/>
        <w:rPr>
          <w:sz w:val="24"/>
        </w:rPr>
      </w:pPr>
      <w:r>
        <w:rPr>
          <w:rFonts w:hint="eastAsia"/>
          <w:sz w:val="24"/>
        </w:rPr>
        <w:t>推荐免试研究生的基本条件：</w:t>
      </w:r>
    </w:p>
    <w:p>
      <w:pPr>
        <w:pStyle w:val="2"/>
        <w:spacing w:line="360" w:lineRule="auto"/>
        <w:rPr>
          <w:sz w:val="24"/>
        </w:rPr>
      </w:pPr>
      <w:r>
        <w:rPr>
          <w:rFonts w:hint="eastAsia"/>
          <w:sz w:val="24"/>
        </w:rPr>
        <w:t>1.</w:t>
      </w:r>
      <w:r>
        <w:rPr>
          <w:sz w:val="24"/>
        </w:rPr>
        <w:t xml:space="preserve"> </w:t>
      </w:r>
      <w:r>
        <w:rPr>
          <w:rFonts w:hint="eastAsia"/>
          <w:sz w:val="24"/>
        </w:rPr>
        <w:t>拥护中国共产党的领导和社会主义制度，具有爱国主义情操和集体主义精神，思想道德素质优良，社会责任感强；诚实守信、学风端正、品行优良，无违法违纪受处分记录，无考试作弊和剽窃他人学术成果等行为。</w:t>
      </w:r>
    </w:p>
    <w:p>
      <w:pPr>
        <w:pStyle w:val="2"/>
        <w:spacing w:line="360" w:lineRule="auto"/>
        <w:rPr>
          <w:sz w:val="24"/>
        </w:rPr>
      </w:pPr>
      <w:r>
        <w:rPr>
          <w:sz w:val="24"/>
        </w:rPr>
        <w:t>2</w:t>
      </w:r>
      <w:r>
        <w:rPr>
          <w:rFonts w:hint="eastAsia"/>
          <w:sz w:val="24"/>
        </w:rPr>
        <w:t>. 勤奋学习、刻苦钻研、成绩优秀。按照正常教学计划修满必修课程，转学和出国交流学生的总学分可将已经学校认定的学分计算在内；必修课（通识必修课、大类基础课、专业必修课）平均学分绩（只计算学生在我校修读课程的成绩）排名应在本专业本年级全体学生的前80%以内（以排序时在校正式学籍学生数为基准；物理伯苓班学生不受学分绩比例限制）；且通识必修课、大类基础课、专业必修课、专业选修课及格（含重修及格）；</w:t>
      </w:r>
    </w:p>
    <w:p>
      <w:pPr>
        <w:pStyle w:val="2"/>
        <w:spacing w:line="360" w:lineRule="auto"/>
        <w:rPr>
          <w:sz w:val="24"/>
        </w:rPr>
      </w:pPr>
      <w:r>
        <w:rPr>
          <w:sz w:val="24"/>
        </w:rPr>
        <w:t>3</w:t>
      </w:r>
      <w:r>
        <w:rPr>
          <w:rFonts w:hint="eastAsia"/>
          <w:sz w:val="24"/>
        </w:rPr>
        <w:t>. 能够运用本专业知识深入地分析、解决问题，具备较强的研究能力和创新精神。</w:t>
      </w:r>
    </w:p>
    <w:p>
      <w:pPr>
        <w:pStyle w:val="2"/>
        <w:numPr>
          <w:ilvl w:val="0"/>
          <w:numId w:val="1"/>
        </w:numPr>
        <w:spacing w:line="360" w:lineRule="auto"/>
        <w:rPr>
          <w:sz w:val="24"/>
        </w:rPr>
      </w:pPr>
      <w:r>
        <w:rPr>
          <w:rFonts w:hint="eastAsia"/>
          <w:sz w:val="24"/>
        </w:rPr>
        <w:t>推免工作的遴选规则：</w:t>
      </w:r>
    </w:p>
    <w:p>
      <w:pPr>
        <w:pStyle w:val="2"/>
        <w:spacing w:line="360" w:lineRule="auto"/>
        <w:ind w:firstLine="480" w:firstLineChars="200"/>
        <w:rPr>
          <w:sz w:val="24"/>
        </w:rPr>
      </w:pPr>
      <w:r>
        <w:rPr>
          <w:rFonts w:hint="eastAsia"/>
          <w:sz w:val="24"/>
        </w:rPr>
        <w:t>1</w:t>
      </w:r>
      <w:r>
        <w:rPr>
          <w:sz w:val="24"/>
        </w:rPr>
        <w:t xml:space="preserve">. </w:t>
      </w:r>
      <w:r>
        <w:rPr>
          <w:rFonts w:hint="eastAsia"/>
          <w:sz w:val="24"/>
        </w:rPr>
        <w:t>推免名单依据学生在本专业本年级的综合排名及本专业推免名额确定。申请推免的学生在满足学院推免基本条件的情况下，必须参加综合排名，综合排名以综合成绩高低排序决定。综合成绩由计算学分绩、综合素质评价成绩两部分加权组成，即：综合成绩 =</w:t>
      </w:r>
      <w:r>
        <w:rPr>
          <w:sz w:val="24"/>
        </w:rPr>
        <w:t xml:space="preserve"> </w:t>
      </w:r>
      <w:r>
        <w:rPr>
          <w:rFonts w:hint="eastAsia"/>
          <w:sz w:val="24"/>
        </w:rPr>
        <w:t>计算学分绩</w:t>
      </w:r>
      <w:r>
        <w:rPr>
          <w:rFonts w:hint="eastAsia"/>
          <w:sz w:val="24"/>
        </w:rPr>
        <w:sym w:font="Symbol" w:char="F0B4"/>
      </w:r>
      <w:r>
        <w:rPr>
          <w:sz w:val="24"/>
        </w:rPr>
        <w:t>7</w:t>
      </w:r>
      <w:r>
        <w:rPr>
          <w:rFonts w:hint="eastAsia"/>
          <w:sz w:val="24"/>
        </w:rPr>
        <w:t>0% +</w:t>
      </w:r>
      <w:r>
        <w:rPr>
          <w:sz w:val="24"/>
        </w:rPr>
        <w:t xml:space="preserve"> </w:t>
      </w:r>
      <w:r>
        <w:rPr>
          <w:rFonts w:hint="eastAsia"/>
          <w:sz w:val="24"/>
        </w:rPr>
        <w:t>综合素质评价成绩</w:t>
      </w:r>
      <w:r>
        <w:rPr>
          <w:rFonts w:hint="eastAsia"/>
          <w:sz w:val="24"/>
        </w:rPr>
        <w:sym w:font="Symbol" w:char="F0B4"/>
      </w:r>
      <w:r>
        <w:rPr>
          <w:sz w:val="24"/>
        </w:rPr>
        <w:t>3</w:t>
      </w:r>
      <w:r>
        <w:rPr>
          <w:rFonts w:hint="eastAsia"/>
          <w:sz w:val="24"/>
        </w:rPr>
        <w:t>0%。</w:t>
      </w:r>
    </w:p>
    <w:p>
      <w:pPr>
        <w:pStyle w:val="2"/>
        <w:spacing w:line="360" w:lineRule="auto"/>
        <w:ind w:firstLine="480" w:firstLineChars="200"/>
        <w:rPr>
          <w:sz w:val="24"/>
        </w:rPr>
      </w:pPr>
      <w:r>
        <w:rPr>
          <w:sz w:val="24"/>
        </w:rPr>
        <w:t xml:space="preserve">2. </w:t>
      </w:r>
      <w:r>
        <w:rPr>
          <w:rFonts w:hint="eastAsia"/>
          <w:sz w:val="24"/>
        </w:rPr>
        <w:t>学生的计算学分绩取通识必修课、大类基础课和专业必修课计算学分绩与通识必修课、大类基础课、专业必修课和专业选修课计算学分绩的平均值。其中：计算学分绩时，必修课的学分数以该年级已完成学期所开设必修课总学分计算（英语执行教务处规定）。</w:t>
      </w:r>
    </w:p>
    <w:p>
      <w:pPr>
        <w:pStyle w:val="2"/>
        <w:spacing w:line="360" w:lineRule="auto"/>
        <w:ind w:firstLine="480" w:firstLineChars="200"/>
        <w:rPr>
          <w:sz w:val="24"/>
        </w:rPr>
      </w:pPr>
      <w:r>
        <w:rPr>
          <w:rFonts w:hint="eastAsia"/>
          <w:sz w:val="24"/>
        </w:rPr>
        <w:t>3</w:t>
      </w:r>
      <w:r>
        <w:rPr>
          <w:sz w:val="24"/>
        </w:rPr>
        <w:t xml:space="preserve">. </w:t>
      </w:r>
      <w:r>
        <w:rPr>
          <w:rFonts w:hint="eastAsia"/>
          <w:sz w:val="24"/>
        </w:rPr>
        <w:t>综合素质评价指标体系组成如下：</w:t>
      </w:r>
    </w:p>
    <w:p>
      <w:pPr>
        <w:pStyle w:val="14"/>
        <w:numPr>
          <w:ilvl w:val="0"/>
          <w:numId w:val="2"/>
        </w:numPr>
        <w:autoSpaceDE w:val="0"/>
        <w:autoSpaceDN w:val="0"/>
        <w:snapToGrid w:val="0"/>
        <w:spacing w:line="360" w:lineRule="auto"/>
        <w:ind w:left="360" w:leftChars="150" w:firstLineChars="0"/>
        <w:jc w:val="both"/>
      </w:pPr>
      <w:bookmarkStart w:id="1" w:name="_Hlk80904101"/>
      <w:r>
        <w:t>思想品质和道德修养（10</w:t>
      </w:r>
      <w:r>
        <w:rPr>
          <w:rFonts w:hint="eastAsia"/>
        </w:rPr>
        <w:t>%</w:t>
      </w:r>
      <w:r>
        <w:t>），包括公能素质测评、青年大学习情况</w:t>
      </w:r>
      <w:r>
        <w:rPr>
          <w:rFonts w:hint="eastAsia"/>
        </w:rPr>
        <w:t>等。</w:t>
      </w:r>
      <w:bookmarkEnd w:id="1"/>
    </w:p>
    <w:p>
      <w:pPr>
        <w:pStyle w:val="14"/>
        <w:numPr>
          <w:ilvl w:val="0"/>
          <w:numId w:val="2"/>
        </w:numPr>
        <w:autoSpaceDE w:val="0"/>
        <w:autoSpaceDN w:val="0"/>
        <w:snapToGrid w:val="0"/>
        <w:spacing w:line="360" w:lineRule="auto"/>
        <w:ind w:left="360" w:leftChars="150" w:firstLineChars="0"/>
        <w:jc w:val="both"/>
      </w:pPr>
      <w:r>
        <w:rPr>
          <w:rFonts w:hint="eastAsia"/>
        </w:rPr>
        <w:t>科研训练表现（</w:t>
      </w:r>
      <w:r>
        <w:t>35%</w:t>
      </w:r>
      <w:r>
        <w:rPr>
          <w:rFonts w:hint="eastAsia"/>
        </w:rPr>
        <w:t>）</w:t>
      </w:r>
    </w:p>
    <w:p>
      <w:pPr>
        <w:pStyle w:val="14"/>
        <w:numPr>
          <w:ilvl w:val="1"/>
          <w:numId w:val="2"/>
        </w:numPr>
        <w:autoSpaceDE w:val="0"/>
        <w:autoSpaceDN w:val="0"/>
        <w:snapToGrid w:val="0"/>
        <w:spacing w:line="360" w:lineRule="auto"/>
        <w:ind w:left="720" w:leftChars="300" w:firstLineChars="0"/>
        <w:jc w:val="both"/>
      </w:pPr>
      <w:r>
        <w:t>参加</w:t>
      </w:r>
      <w:r>
        <w:rPr>
          <w:rFonts w:hint="eastAsia"/>
        </w:rPr>
        <w:t>学院</w:t>
      </w:r>
      <w:r>
        <w:t>物理学术竞赛</w:t>
      </w:r>
      <w:r>
        <w:rPr>
          <w:rFonts w:hint="eastAsia"/>
        </w:rPr>
        <w:t>情况（1</w:t>
      </w:r>
      <w:r>
        <w:t>0%</w:t>
      </w:r>
      <w:r>
        <w:rPr>
          <w:rFonts w:hint="eastAsia"/>
        </w:rPr>
        <w:t>）；</w:t>
      </w:r>
    </w:p>
    <w:p>
      <w:pPr>
        <w:pStyle w:val="14"/>
        <w:numPr>
          <w:ilvl w:val="1"/>
          <w:numId w:val="2"/>
        </w:numPr>
        <w:autoSpaceDE w:val="0"/>
        <w:autoSpaceDN w:val="0"/>
        <w:snapToGrid w:val="0"/>
        <w:spacing w:line="360" w:lineRule="auto"/>
        <w:ind w:left="720" w:leftChars="300" w:firstLineChars="0"/>
        <w:jc w:val="both"/>
      </w:pPr>
      <w:r>
        <w:rPr>
          <w:rFonts w:hint="eastAsia"/>
        </w:rPr>
        <w:t>参加</w:t>
      </w:r>
      <w:r>
        <w:t>今日物理、物语角等（10</w:t>
      </w:r>
      <w:r>
        <w:rPr>
          <w:rFonts w:hint="eastAsia"/>
        </w:rPr>
        <w:t>%</w:t>
      </w:r>
      <w:r>
        <w:t>）</w:t>
      </w:r>
      <w:r>
        <w:rPr>
          <w:rFonts w:hint="eastAsia"/>
        </w:rPr>
        <w:t>；</w:t>
      </w:r>
    </w:p>
    <w:p>
      <w:pPr>
        <w:pStyle w:val="14"/>
        <w:numPr>
          <w:ilvl w:val="1"/>
          <w:numId w:val="2"/>
        </w:numPr>
        <w:autoSpaceDE w:val="0"/>
        <w:autoSpaceDN w:val="0"/>
        <w:snapToGrid w:val="0"/>
        <w:spacing w:line="360" w:lineRule="auto"/>
        <w:ind w:left="720" w:leftChars="300" w:firstLineChars="0"/>
        <w:jc w:val="both"/>
      </w:pPr>
      <w:r>
        <w:t>参与本科创新情况（10</w:t>
      </w:r>
      <w:r>
        <w:rPr>
          <w:rFonts w:hint="eastAsia"/>
        </w:rPr>
        <w:t>%</w:t>
      </w:r>
      <w:r>
        <w:t>），包括学校百项、国创和天津市创新项目</w:t>
      </w:r>
      <w:r>
        <w:rPr>
          <w:rFonts w:hint="eastAsia"/>
        </w:rPr>
        <w:t>等；</w:t>
      </w:r>
    </w:p>
    <w:p>
      <w:pPr>
        <w:pStyle w:val="14"/>
        <w:numPr>
          <w:ilvl w:val="1"/>
          <w:numId w:val="2"/>
        </w:numPr>
        <w:autoSpaceDE w:val="0"/>
        <w:autoSpaceDN w:val="0"/>
        <w:snapToGrid w:val="0"/>
        <w:spacing w:line="360" w:lineRule="auto"/>
        <w:ind w:left="720" w:leftChars="300" w:firstLineChars="0"/>
        <w:jc w:val="both"/>
      </w:pPr>
      <w:bookmarkStart w:id="2" w:name="_Hlk80904527"/>
      <w:r>
        <w:rPr>
          <w:rFonts w:hint="eastAsia"/>
        </w:rPr>
        <w:t>参加全国或国际学术会议做口头或张贴报告（</w:t>
      </w:r>
      <w:r>
        <w:t>5%</w:t>
      </w:r>
      <w:r>
        <w:rPr>
          <w:rFonts w:hint="eastAsia"/>
        </w:rPr>
        <w:t>）。</w:t>
      </w:r>
    </w:p>
    <w:bookmarkEnd w:id="2"/>
    <w:p>
      <w:pPr>
        <w:pStyle w:val="14"/>
        <w:numPr>
          <w:ilvl w:val="0"/>
          <w:numId w:val="2"/>
        </w:numPr>
        <w:autoSpaceDE w:val="0"/>
        <w:autoSpaceDN w:val="0"/>
        <w:snapToGrid w:val="0"/>
        <w:spacing w:line="360" w:lineRule="auto"/>
        <w:ind w:left="360" w:leftChars="150" w:firstLineChars="0"/>
        <w:jc w:val="both"/>
      </w:pPr>
      <w:r>
        <w:rPr>
          <w:rFonts w:hint="eastAsia"/>
        </w:rPr>
        <w:t>参军入伍服兵役（10%）。参军入伍、嘉奖、优秀士兵、三等功及以上奖励，分别对应5</w:t>
      </w:r>
      <w:r>
        <w:t>%</w:t>
      </w:r>
      <w:r>
        <w:rPr>
          <w:rFonts w:hint="eastAsia"/>
        </w:rPr>
        <w:t>、6</w:t>
      </w:r>
      <w:r>
        <w:t>%</w:t>
      </w:r>
      <w:r>
        <w:rPr>
          <w:rFonts w:hint="eastAsia"/>
        </w:rPr>
        <w:t>、8</w:t>
      </w:r>
      <w:r>
        <w:t>%</w:t>
      </w:r>
      <w:r>
        <w:rPr>
          <w:rFonts w:hint="eastAsia"/>
        </w:rPr>
        <w:t>、9%；在旅团级以上比武竞赛中取得优胜或在执行重大任务中表现优异的，额外给予</w:t>
      </w:r>
      <w:r>
        <w:t>1</w:t>
      </w:r>
      <w:r>
        <w:rPr>
          <w:rFonts w:hint="eastAsia"/>
        </w:rPr>
        <w:t>%奖励（可累加，至10%为止）。</w:t>
      </w:r>
    </w:p>
    <w:p>
      <w:pPr>
        <w:pStyle w:val="14"/>
        <w:numPr>
          <w:ilvl w:val="0"/>
          <w:numId w:val="2"/>
        </w:numPr>
        <w:autoSpaceDE w:val="0"/>
        <w:autoSpaceDN w:val="0"/>
        <w:snapToGrid w:val="0"/>
        <w:spacing w:line="360" w:lineRule="auto"/>
        <w:ind w:left="360" w:leftChars="150" w:firstLineChars="0"/>
        <w:jc w:val="both"/>
      </w:pPr>
      <w:r>
        <w:t>参加学校、学院组织的各</w:t>
      </w:r>
      <w:r>
        <w:rPr>
          <w:rFonts w:hint="eastAsia"/>
        </w:rPr>
        <w:t>类</w:t>
      </w:r>
      <w:r>
        <w:t>活动，</w:t>
      </w:r>
      <w:r>
        <w:rPr>
          <w:rFonts w:hint="eastAsia"/>
        </w:rPr>
        <w:t>及</w:t>
      </w:r>
      <w:r>
        <w:t>获得奖励情况（20</w:t>
      </w:r>
      <w:r>
        <w:rPr>
          <w:rFonts w:hint="eastAsia"/>
        </w:rPr>
        <w:t>%</w:t>
      </w:r>
      <w:r>
        <w:t>）</w:t>
      </w:r>
      <w:r>
        <w:rPr>
          <w:rFonts w:hint="eastAsia"/>
        </w:rPr>
        <w:t>。</w:t>
      </w:r>
    </w:p>
    <w:p>
      <w:pPr>
        <w:pStyle w:val="14"/>
        <w:numPr>
          <w:ilvl w:val="1"/>
          <w:numId w:val="2"/>
        </w:numPr>
        <w:autoSpaceDE w:val="0"/>
        <w:autoSpaceDN w:val="0"/>
        <w:snapToGrid w:val="0"/>
        <w:spacing w:line="360" w:lineRule="auto"/>
        <w:ind w:left="720" w:leftChars="300" w:firstLineChars="0"/>
        <w:jc w:val="both"/>
      </w:pPr>
      <w:r>
        <w:rPr>
          <w:rFonts w:hint="eastAsia"/>
        </w:rPr>
        <w:t>参加</w:t>
      </w:r>
      <w:r>
        <w:t>学校、学院组织的各</w:t>
      </w:r>
      <w:r>
        <w:rPr>
          <w:rFonts w:hint="eastAsia"/>
        </w:rPr>
        <w:t>类</w:t>
      </w:r>
      <w:r>
        <w:t>活动</w:t>
      </w:r>
      <w:r>
        <w:rPr>
          <w:rFonts w:hint="eastAsia"/>
        </w:rPr>
        <w:t>（1</w:t>
      </w:r>
      <w:r>
        <w:t>0%</w:t>
      </w:r>
      <w:r>
        <w:rPr>
          <w:rFonts w:hint="eastAsia"/>
        </w:rPr>
        <w:t>）；</w:t>
      </w:r>
    </w:p>
    <w:p>
      <w:pPr>
        <w:pStyle w:val="14"/>
        <w:numPr>
          <w:ilvl w:val="1"/>
          <w:numId w:val="2"/>
        </w:numPr>
        <w:autoSpaceDE w:val="0"/>
        <w:autoSpaceDN w:val="0"/>
        <w:snapToGrid w:val="0"/>
        <w:spacing w:line="360" w:lineRule="auto"/>
        <w:ind w:left="720" w:leftChars="300" w:firstLineChars="0"/>
        <w:jc w:val="both"/>
      </w:pPr>
      <w:r>
        <w:rPr>
          <w:rFonts w:hint="eastAsia"/>
        </w:rPr>
        <w:t>参加</w:t>
      </w:r>
      <w:r>
        <w:t>活动获得奖励（5</w:t>
      </w:r>
      <w:r>
        <w:rPr>
          <w:rFonts w:hint="eastAsia"/>
        </w:rPr>
        <w:t>%</w:t>
      </w:r>
      <w:r>
        <w:t>）</w:t>
      </w:r>
      <w:r>
        <w:rPr>
          <w:rFonts w:hint="eastAsia"/>
        </w:rPr>
        <w:t>；</w:t>
      </w:r>
    </w:p>
    <w:p>
      <w:pPr>
        <w:pStyle w:val="14"/>
        <w:numPr>
          <w:ilvl w:val="1"/>
          <w:numId w:val="2"/>
        </w:numPr>
        <w:autoSpaceDE w:val="0"/>
        <w:autoSpaceDN w:val="0"/>
        <w:snapToGrid w:val="0"/>
        <w:spacing w:line="360" w:lineRule="auto"/>
        <w:ind w:left="720" w:leftChars="300" w:firstLineChars="0"/>
        <w:jc w:val="both"/>
      </w:pPr>
      <w:bookmarkStart w:id="3" w:name="_Hlk80905254"/>
      <w:r>
        <w:t>参与学院教学改革和学生管理工作并有突出贡献（5%）</w:t>
      </w:r>
      <w:r>
        <w:rPr>
          <w:rFonts w:hint="eastAsia"/>
        </w:rPr>
        <w:t>。</w:t>
      </w:r>
    </w:p>
    <w:bookmarkEnd w:id="3"/>
    <w:p>
      <w:pPr>
        <w:pStyle w:val="14"/>
        <w:numPr>
          <w:ilvl w:val="0"/>
          <w:numId w:val="2"/>
        </w:numPr>
        <w:autoSpaceDE w:val="0"/>
        <w:autoSpaceDN w:val="0"/>
        <w:snapToGrid w:val="0"/>
        <w:spacing w:line="360" w:lineRule="auto"/>
        <w:ind w:left="360" w:leftChars="150" w:firstLineChars="0"/>
        <w:jc w:val="both"/>
      </w:pPr>
      <w:r>
        <w:rPr>
          <w:rFonts w:hint="eastAsia"/>
        </w:rPr>
        <w:t>特殊学术专长（2</w:t>
      </w:r>
      <w:r>
        <w:t>5</w:t>
      </w:r>
      <w:r>
        <w:rPr>
          <w:rFonts w:hint="eastAsia"/>
        </w:rPr>
        <w:t>%，分值由专家审核小组审定）。</w:t>
      </w:r>
    </w:p>
    <w:p>
      <w:pPr>
        <w:pStyle w:val="14"/>
        <w:numPr>
          <w:ilvl w:val="0"/>
          <w:numId w:val="3"/>
        </w:numPr>
        <w:autoSpaceDE w:val="0"/>
        <w:autoSpaceDN w:val="0"/>
        <w:snapToGrid w:val="0"/>
        <w:spacing w:line="360" w:lineRule="auto"/>
        <w:ind w:left="720" w:leftChars="300" w:firstLineChars="0"/>
        <w:jc w:val="both"/>
      </w:pPr>
      <w:r>
        <w:rPr>
          <w:rFonts w:hint="eastAsia"/>
        </w:rPr>
        <w:t>发表学术</w:t>
      </w:r>
      <w:r>
        <w:t>论文（</w:t>
      </w:r>
      <w:r>
        <w:rPr/>
        <w:sym w:font="Symbol" w:char="F0A3"/>
      </w:r>
      <w:r>
        <w:t>20%）</w:t>
      </w:r>
      <w:r>
        <w:rPr>
          <w:rFonts w:hint="eastAsia"/>
        </w:rPr>
        <w:t>；</w:t>
      </w:r>
    </w:p>
    <w:p>
      <w:pPr>
        <w:pStyle w:val="14"/>
        <w:numPr>
          <w:ilvl w:val="0"/>
          <w:numId w:val="3"/>
        </w:numPr>
        <w:autoSpaceDE w:val="0"/>
        <w:autoSpaceDN w:val="0"/>
        <w:snapToGrid w:val="0"/>
        <w:spacing w:line="360" w:lineRule="auto"/>
        <w:ind w:left="720" w:leftChars="300" w:firstLineChars="0"/>
        <w:jc w:val="both"/>
      </w:pPr>
      <w:r>
        <w:t>获得国家</w:t>
      </w:r>
      <w:r>
        <w:rPr>
          <w:rFonts w:hint="eastAsia"/>
        </w:rPr>
        <w:t>级各</w:t>
      </w:r>
      <w:r>
        <w:t>类（含CUPT、IPT）</w:t>
      </w:r>
      <w:r>
        <w:rPr>
          <w:rFonts w:hint="eastAsia"/>
        </w:rPr>
        <w:t>学术</w:t>
      </w:r>
      <w:r>
        <w:t>奖励（</w:t>
      </w:r>
      <w:r>
        <w:rPr/>
        <w:sym w:font="Symbol" w:char="F0A3"/>
      </w:r>
      <w:r>
        <w:t>20%）</w:t>
      </w:r>
      <w:r>
        <w:rPr>
          <w:rFonts w:hint="eastAsia"/>
        </w:rPr>
        <w:t>；</w:t>
      </w:r>
    </w:p>
    <w:p>
      <w:pPr>
        <w:pStyle w:val="14"/>
        <w:numPr>
          <w:ilvl w:val="0"/>
          <w:numId w:val="3"/>
        </w:numPr>
        <w:autoSpaceDE w:val="0"/>
        <w:autoSpaceDN w:val="0"/>
        <w:snapToGrid w:val="0"/>
        <w:spacing w:line="360" w:lineRule="auto"/>
        <w:ind w:left="720" w:leftChars="300" w:firstLineChars="0"/>
        <w:jc w:val="both"/>
      </w:pPr>
      <w:r>
        <w:t>获得</w:t>
      </w:r>
      <w:r>
        <w:rPr>
          <w:rFonts w:hint="eastAsia"/>
        </w:rPr>
        <w:t>省部级各类学术奖励</w:t>
      </w:r>
      <w:r>
        <w:t>（</w:t>
      </w:r>
      <w:r>
        <w:rPr/>
        <w:sym w:font="Symbol" w:char="F0A3"/>
      </w:r>
      <w:r>
        <w:t>10%）</w:t>
      </w:r>
      <w:r>
        <w:rPr>
          <w:rFonts w:hint="eastAsia"/>
        </w:rPr>
        <w:t>；</w:t>
      </w:r>
    </w:p>
    <w:p>
      <w:pPr>
        <w:pStyle w:val="14"/>
        <w:numPr>
          <w:ilvl w:val="0"/>
          <w:numId w:val="3"/>
        </w:numPr>
        <w:autoSpaceDE w:val="0"/>
        <w:autoSpaceDN w:val="0"/>
        <w:snapToGrid w:val="0"/>
        <w:spacing w:line="360" w:lineRule="auto"/>
        <w:ind w:left="720" w:leftChars="300" w:firstLineChars="0"/>
        <w:jc w:val="both"/>
      </w:pPr>
      <w:r>
        <w:rPr>
          <w:rFonts w:hint="eastAsia"/>
        </w:rPr>
        <w:t>其他学术成果（</w:t>
      </w:r>
      <w:r>
        <w:rPr/>
        <w:sym w:font="Symbol" w:char="F0A3"/>
      </w:r>
      <w:r>
        <w:t>5%</w:t>
      </w:r>
      <w:r>
        <w:rPr>
          <w:rFonts w:hint="eastAsia"/>
        </w:rPr>
        <w:t>）。</w:t>
      </w:r>
    </w:p>
    <w:p>
      <w:pPr>
        <w:pStyle w:val="2"/>
        <w:numPr>
          <w:ilvl w:val="0"/>
          <w:numId w:val="1"/>
        </w:numPr>
        <w:spacing w:line="360" w:lineRule="auto"/>
        <w:rPr>
          <w:sz w:val="24"/>
        </w:rPr>
      </w:pPr>
      <w:r>
        <w:rPr>
          <w:rFonts w:hint="eastAsia"/>
          <w:sz w:val="24"/>
        </w:rPr>
        <w:t>推免工作的具体流程和时间安排：</w:t>
      </w:r>
    </w:p>
    <w:p>
      <w:pPr>
        <w:pStyle w:val="2"/>
        <w:spacing w:line="360" w:lineRule="auto"/>
        <w:ind w:firstLine="480" w:firstLineChars="200"/>
        <w:rPr>
          <w:sz w:val="24"/>
        </w:rPr>
      </w:pPr>
      <w:r>
        <w:rPr>
          <w:rFonts w:hint="eastAsia"/>
          <w:sz w:val="24"/>
        </w:rPr>
        <w:t>1</w:t>
      </w:r>
      <w:r>
        <w:rPr>
          <w:sz w:val="24"/>
        </w:rPr>
        <w:t xml:space="preserve">. </w:t>
      </w:r>
      <w:r>
        <w:rPr>
          <w:rFonts w:hint="eastAsia"/>
          <w:sz w:val="24"/>
        </w:rPr>
        <w:t>成立学院推免生遴选工作领导小组及专家审核小组，负责组织实施本学院推免工作。推免生遴选工作领导小组由学院党委书记、院长、分管本科教学工作副院长、分管学生工作副书记及教师代表组成。专家审核小组成员不少于5人，并具有相关学科副教授以上职称。</w:t>
      </w:r>
    </w:p>
    <w:p>
      <w:pPr>
        <w:pStyle w:val="2"/>
        <w:spacing w:line="360" w:lineRule="auto"/>
        <w:ind w:firstLine="480" w:firstLineChars="200"/>
        <w:rPr>
          <w:sz w:val="24"/>
        </w:rPr>
      </w:pPr>
      <w:r>
        <w:rPr>
          <w:rFonts w:hint="eastAsia"/>
          <w:sz w:val="24"/>
        </w:rPr>
        <w:t>2</w:t>
      </w:r>
      <w:r>
        <w:rPr>
          <w:sz w:val="24"/>
        </w:rPr>
        <w:t xml:space="preserve">. </w:t>
      </w:r>
      <w:r>
        <w:rPr>
          <w:rFonts w:hint="eastAsia"/>
          <w:sz w:val="24"/>
        </w:rPr>
        <w:t>根据学校教务处的工作安排，开展综合排名审核工作。</w:t>
      </w:r>
    </w:p>
    <w:p>
      <w:pPr>
        <w:pStyle w:val="2"/>
        <w:spacing w:line="360" w:lineRule="auto"/>
        <w:ind w:firstLine="480" w:firstLineChars="200"/>
        <w:rPr>
          <w:sz w:val="24"/>
        </w:rPr>
      </w:pPr>
      <w:r>
        <w:rPr>
          <w:sz w:val="24"/>
        </w:rPr>
        <w:t xml:space="preserve">3. </w:t>
      </w:r>
      <w:r>
        <w:rPr>
          <w:rFonts w:hint="eastAsia"/>
          <w:sz w:val="24"/>
        </w:rPr>
        <w:t>学院推免生遴选工作领导小组负责本学院推免动员和报名工作，审核报名学生资格。学生在报名时，须同时提交申请综合素质认定的相关证明材料。</w:t>
      </w:r>
    </w:p>
    <w:p>
      <w:pPr>
        <w:pStyle w:val="2"/>
        <w:spacing w:line="360" w:lineRule="auto"/>
        <w:ind w:firstLine="480" w:firstLineChars="200"/>
        <w:rPr>
          <w:sz w:val="24"/>
        </w:rPr>
      </w:pPr>
      <w:r>
        <w:rPr>
          <w:sz w:val="24"/>
        </w:rPr>
        <w:t xml:space="preserve">4. </w:t>
      </w:r>
      <w:r>
        <w:rPr>
          <w:rFonts w:hint="eastAsia"/>
          <w:sz w:val="24"/>
        </w:rPr>
        <w:t>学院公布学生报名名单以及学生必修课学分绩排名。</w:t>
      </w:r>
    </w:p>
    <w:p>
      <w:pPr>
        <w:pStyle w:val="2"/>
        <w:spacing w:line="360" w:lineRule="auto"/>
        <w:ind w:firstLine="480" w:firstLineChars="200"/>
        <w:rPr>
          <w:sz w:val="24"/>
        </w:rPr>
      </w:pPr>
      <w:r>
        <w:rPr>
          <w:sz w:val="24"/>
        </w:rPr>
        <w:t xml:space="preserve">5. </w:t>
      </w:r>
      <w:r>
        <w:rPr>
          <w:rFonts w:hint="eastAsia"/>
          <w:sz w:val="24"/>
        </w:rPr>
        <w:t>学院推免生遴选工作领导小组按照本细则第二条和第三条的方法，审阅相关证明材料，进行综合素质认定，组织专家审核小组严格审查特殊学术专长，确定综合素质认定成绩，并计算综合成绩，各专业分别排名。</w:t>
      </w:r>
    </w:p>
    <w:p>
      <w:pPr>
        <w:pStyle w:val="2"/>
        <w:spacing w:line="360" w:lineRule="auto"/>
        <w:ind w:firstLine="480" w:firstLineChars="200"/>
        <w:rPr>
          <w:sz w:val="24"/>
        </w:rPr>
      </w:pPr>
      <w:r>
        <w:rPr>
          <w:rFonts w:hint="eastAsia"/>
          <w:sz w:val="24"/>
        </w:rPr>
        <w:t>6</w:t>
      </w:r>
      <w:r>
        <w:rPr>
          <w:sz w:val="24"/>
        </w:rPr>
        <w:t xml:space="preserve">. </w:t>
      </w:r>
      <w:r>
        <w:rPr>
          <w:rFonts w:hint="eastAsia"/>
          <w:sz w:val="24"/>
        </w:rPr>
        <w:t>根据学校下达免试推荐名额，原则上参考专业人数按比例分配名额，各专业学生按照综合排名顺序获得名额。</w:t>
      </w:r>
    </w:p>
    <w:p>
      <w:pPr>
        <w:pStyle w:val="2"/>
        <w:spacing w:line="360" w:lineRule="auto"/>
        <w:ind w:firstLine="480" w:firstLineChars="200"/>
        <w:rPr>
          <w:sz w:val="24"/>
        </w:rPr>
      </w:pPr>
      <w:r>
        <w:rPr>
          <w:sz w:val="24"/>
        </w:rPr>
        <w:t xml:space="preserve">7. </w:t>
      </w:r>
      <w:r>
        <w:rPr>
          <w:rFonts w:hint="eastAsia"/>
          <w:sz w:val="24"/>
        </w:rPr>
        <w:t>学院公示特殊学术专长鉴定结果、综合成绩、综合排名和推免名单，公示期不少于3天。</w:t>
      </w:r>
    </w:p>
    <w:p>
      <w:pPr>
        <w:pStyle w:val="2"/>
        <w:spacing w:line="360" w:lineRule="auto"/>
        <w:ind w:firstLine="480" w:firstLineChars="200"/>
        <w:rPr>
          <w:sz w:val="24"/>
        </w:rPr>
      </w:pPr>
      <w:r>
        <w:rPr>
          <w:rFonts w:hint="eastAsia"/>
          <w:sz w:val="24"/>
        </w:rPr>
        <w:t>8</w:t>
      </w:r>
      <w:r>
        <w:rPr>
          <w:sz w:val="24"/>
        </w:rPr>
        <w:t xml:space="preserve">. </w:t>
      </w:r>
      <w:r>
        <w:rPr>
          <w:rFonts w:hint="eastAsia"/>
          <w:sz w:val="24"/>
        </w:rPr>
        <w:t>推免名单公示无异议后，在规定日期内将推免名单、推免学生成绩单、各专业必修课学分绩排名、计算学分绩、综合素质评价成绩、综合成绩和综合排名报南开大学推免生遴选工作小组。</w:t>
      </w:r>
    </w:p>
    <w:p>
      <w:pPr>
        <w:pStyle w:val="2"/>
        <w:spacing w:line="360" w:lineRule="auto"/>
        <w:ind w:firstLine="0"/>
        <w:rPr>
          <w:sz w:val="24"/>
        </w:rPr>
      </w:pPr>
      <w:r>
        <w:rPr>
          <w:rFonts w:hint="eastAsia"/>
          <w:sz w:val="24"/>
        </w:rPr>
        <w:t>五、复议：</w:t>
      </w:r>
    </w:p>
    <w:p>
      <w:pPr>
        <w:pStyle w:val="2"/>
        <w:spacing w:line="360" w:lineRule="auto"/>
        <w:ind w:firstLine="480" w:firstLineChars="200"/>
        <w:rPr>
          <w:sz w:val="24"/>
        </w:rPr>
      </w:pPr>
      <w:r>
        <w:rPr>
          <w:rFonts w:hint="eastAsia"/>
          <w:sz w:val="24"/>
        </w:rPr>
        <w:t>已参加本学院推免遴选，但对综合素质评价成绩及最后结果持有异议的学生，可在本学院推免名单公示期间提请学院推免生遴选工作领导小组复议。复议申请和复议程序参照《</w:t>
      </w:r>
      <w:r>
        <w:rPr>
          <w:rFonts w:ascii="宋体" w:hAnsi="宋体"/>
          <w:sz w:val="24"/>
        </w:rPr>
        <w:t>南开大学推荐优秀应届本科毕业生免试攻读研究生工作实施办法</w:t>
      </w:r>
      <w:r>
        <w:rPr>
          <w:rFonts w:hint="eastAsia"/>
          <w:sz w:val="24"/>
        </w:rPr>
        <w:t>》第二十四条执行。</w:t>
      </w:r>
    </w:p>
    <w:p>
      <w:pPr>
        <w:pStyle w:val="2"/>
        <w:spacing w:line="360" w:lineRule="auto"/>
        <w:ind w:firstLine="0"/>
        <w:rPr>
          <w:sz w:val="24"/>
        </w:rPr>
      </w:pPr>
      <w:r>
        <w:rPr>
          <w:rFonts w:hint="eastAsia"/>
          <w:sz w:val="24"/>
        </w:rPr>
        <w:t>六、其他：</w:t>
      </w:r>
    </w:p>
    <w:p>
      <w:pPr>
        <w:pStyle w:val="2"/>
        <w:spacing w:line="360" w:lineRule="auto"/>
        <w:ind w:firstLine="480" w:firstLineChars="200"/>
        <w:rPr>
          <w:sz w:val="24"/>
        </w:rPr>
      </w:pPr>
      <w:r>
        <w:rPr>
          <w:rFonts w:hint="eastAsia"/>
          <w:sz w:val="24"/>
        </w:rPr>
        <w:t>1</w:t>
      </w:r>
      <w:r>
        <w:rPr>
          <w:sz w:val="24"/>
        </w:rPr>
        <w:t xml:space="preserve">. </w:t>
      </w:r>
      <w:r>
        <w:rPr>
          <w:rFonts w:hint="eastAsia"/>
          <w:sz w:val="24"/>
        </w:rPr>
        <w:t xml:space="preserve">希望被推荐学生珍惜名额、用好名额。按照国家相关要求履行相应手续，未履行规定手续者，视为自动放弃推免名额。 </w:t>
      </w:r>
    </w:p>
    <w:p>
      <w:pPr>
        <w:pStyle w:val="2"/>
        <w:spacing w:line="360" w:lineRule="auto"/>
        <w:ind w:firstLine="480" w:firstLineChars="200"/>
        <w:rPr>
          <w:sz w:val="24"/>
        </w:rPr>
      </w:pPr>
      <w:r>
        <w:rPr>
          <w:rFonts w:hint="eastAsia"/>
          <w:sz w:val="24"/>
        </w:rPr>
        <w:t>2</w:t>
      </w:r>
      <w:r>
        <w:rPr>
          <w:sz w:val="24"/>
        </w:rPr>
        <w:t xml:space="preserve">. </w:t>
      </w:r>
      <w:r>
        <w:rPr>
          <w:rFonts w:hint="eastAsia"/>
          <w:sz w:val="24"/>
        </w:rPr>
        <w:t xml:space="preserve">未获得推免名额、自行联系招生单位认定的推荐免试研究生者，我院无权办理推荐手续。 </w:t>
      </w:r>
    </w:p>
    <w:p>
      <w:pPr>
        <w:pStyle w:val="2"/>
        <w:spacing w:line="360" w:lineRule="auto"/>
        <w:ind w:firstLine="480" w:firstLineChars="200"/>
        <w:rPr>
          <w:sz w:val="24"/>
        </w:rPr>
      </w:pPr>
      <w:r>
        <w:rPr>
          <w:sz w:val="24"/>
        </w:rPr>
        <w:t>3.</w:t>
      </w:r>
      <w:r>
        <w:rPr>
          <w:rFonts w:hint="eastAsia"/>
          <w:sz w:val="24"/>
        </w:rPr>
        <w:t xml:space="preserve"> 已获得推免名额的学生，在毕业前受到纪律处分或不能按期正常毕业的，取消其推免资格，并通知接收单位。</w:t>
      </w:r>
    </w:p>
    <w:p>
      <w:pPr>
        <w:pStyle w:val="2"/>
        <w:spacing w:line="360" w:lineRule="auto"/>
        <w:ind w:firstLine="480" w:firstLineChars="200"/>
        <w:rPr>
          <w:sz w:val="24"/>
        </w:rPr>
      </w:pPr>
    </w:p>
    <w:p>
      <w:pPr>
        <w:pStyle w:val="2"/>
        <w:spacing w:line="360" w:lineRule="auto"/>
        <w:ind w:firstLine="480" w:firstLineChars="200"/>
        <w:rPr>
          <w:sz w:val="24"/>
        </w:rPr>
      </w:pPr>
      <w:r>
        <w:rPr>
          <w:rFonts w:hint="eastAsia"/>
          <w:sz w:val="24"/>
        </w:rPr>
        <w:t>本《细则》在执行过程中，如遇上级政策调整情况，学院推免生遴选工作领导小组可根据相关政策做适当调整。</w:t>
      </w:r>
    </w:p>
    <w:p>
      <w:pPr>
        <w:pStyle w:val="2"/>
        <w:spacing w:line="360" w:lineRule="auto"/>
        <w:ind w:firstLine="480" w:firstLineChars="200"/>
        <w:rPr>
          <w:sz w:val="24"/>
        </w:rPr>
      </w:pPr>
      <w:r>
        <w:rPr>
          <w:rFonts w:hint="eastAsia"/>
          <w:sz w:val="24"/>
        </w:rPr>
        <w:t>本《细则》解释权属物理科学学院推免生遴选工作领导小组。未尽事宜，以学校最新文件规定为准。</w:t>
      </w:r>
    </w:p>
    <w:p>
      <w:pPr>
        <w:pStyle w:val="2"/>
        <w:spacing w:line="360" w:lineRule="auto"/>
        <w:ind w:firstLine="480" w:firstLineChars="200"/>
        <w:rPr>
          <w:sz w:val="24"/>
        </w:rPr>
      </w:pPr>
    </w:p>
    <w:p>
      <w:pPr>
        <w:pStyle w:val="2"/>
        <w:spacing w:line="360" w:lineRule="auto"/>
        <w:ind w:firstLine="0"/>
      </w:pPr>
    </w:p>
    <w:p>
      <w:pPr>
        <w:pStyle w:val="2"/>
        <w:spacing w:line="360" w:lineRule="auto"/>
        <w:ind w:firstLine="0"/>
        <w:rPr>
          <w:sz w:val="24"/>
        </w:rPr>
      </w:pPr>
    </w:p>
    <w:p>
      <w:pPr>
        <w:spacing w:line="360" w:lineRule="auto"/>
        <w:jc w:val="both"/>
      </w:pPr>
    </w:p>
    <w:p>
      <w:pPr>
        <w:pStyle w:val="2"/>
        <w:spacing w:line="360" w:lineRule="auto"/>
        <w:ind w:firstLine="0"/>
        <w:rPr>
          <w:sz w:val="24"/>
        </w:rPr>
      </w:pPr>
      <w:r>
        <w:tab/>
      </w:r>
      <w:r>
        <w:rPr>
          <w:rFonts w:hint="eastAsia"/>
        </w:rPr>
        <w:tab/>
      </w:r>
      <w:r>
        <w:rPr>
          <w:rFonts w:hint="eastAsia"/>
        </w:rPr>
        <w:tab/>
      </w:r>
      <w:r>
        <w:rPr>
          <w:rFonts w:hint="eastAsia"/>
        </w:rPr>
        <w:tab/>
      </w:r>
      <w:r>
        <w:tab/>
      </w:r>
      <w:r>
        <w:rPr>
          <w:rFonts w:hint="eastAsia"/>
        </w:rPr>
        <w:tab/>
      </w:r>
      <w:r>
        <w:rPr>
          <w:rFonts w:hint="eastAsia"/>
          <w:sz w:val="24"/>
        </w:rPr>
        <w:t xml:space="preserve">物理科学学院推免生遴选工作领导小组  </w:t>
      </w:r>
    </w:p>
    <w:p>
      <w:pPr>
        <w:pStyle w:val="2"/>
        <w:spacing w:line="360" w:lineRule="auto"/>
        <w:ind w:firstLine="4920" w:firstLineChars="2050"/>
        <w:rPr>
          <w:b/>
          <w:bCs/>
          <w:color w:val="0000FF"/>
          <w:sz w:val="52"/>
        </w:rPr>
      </w:pPr>
      <w:r>
        <w:rPr>
          <w:rFonts w:hint="eastAsia"/>
          <w:sz w:val="24"/>
        </w:rPr>
        <w:t>202</w:t>
      </w:r>
      <w:r>
        <w:rPr>
          <w:sz w:val="24"/>
        </w:rPr>
        <w:t>1</w:t>
      </w:r>
      <w:r>
        <w:rPr>
          <w:rFonts w:hint="eastAsia"/>
          <w:sz w:val="24"/>
        </w:rPr>
        <w:t>年8月2</w:t>
      </w:r>
      <w:r>
        <w:rPr>
          <w:sz w:val="24"/>
        </w:rPr>
        <w:t>6</w:t>
      </w:r>
      <w:r>
        <w:rPr>
          <w:rFonts w:hint="eastAsia"/>
          <w:sz w:val="24"/>
        </w:rPr>
        <w:t>日</w:t>
      </w:r>
      <w:r>
        <w:br w:type="page"/>
      </w:r>
      <w:bookmarkStart w:id="4" w:name="_GoBack"/>
      <w:bookmarkEnd w:id="4"/>
    </w:p>
    <w:p>
      <w:pPr>
        <w:spacing w:line="360" w:lineRule="auto"/>
        <w:rPr>
          <w:sz w:val="28"/>
          <w:szCs w:val="28"/>
        </w:rPr>
      </w:pPr>
    </w:p>
    <w:sectPr>
      <w:pgSz w:w="11906" w:h="16838"/>
      <w:pgMar w:top="1418" w:right="1701" w:bottom="1418"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3593E"/>
    <w:multiLevelType w:val="multilevel"/>
    <w:tmpl w:val="0F3359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6C7EFF"/>
    <w:multiLevelType w:val="multilevel"/>
    <w:tmpl w:val="496C7EF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9865FA"/>
    <w:multiLevelType w:val="multilevel"/>
    <w:tmpl w:val="779865FA"/>
    <w:lvl w:ilvl="0" w:tentative="0">
      <w:start w:val="1"/>
      <w:numFmt w:val="lowerLetter"/>
      <w:lvlText w:val="%1)"/>
      <w:lvlJc w:val="left"/>
      <w:pPr>
        <w:ind w:left="1980" w:hanging="420"/>
      </w:pPr>
      <w:rPr>
        <w:rFonts w:hint="eastAsia"/>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2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55"/>
    <w:rsid w:val="000021D6"/>
    <w:rsid w:val="00017382"/>
    <w:rsid w:val="00026358"/>
    <w:rsid w:val="00030F45"/>
    <w:rsid w:val="00033961"/>
    <w:rsid w:val="00034C2D"/>
    <w:rsid w:val="000350B8"/>
    <w:rsid w:val="00056F92"/>
    <w:rsid w:val="00062A72"/>
    <w:rsid w:val="00071463"/>
    <w:rsid w:val="00077886"/>
    <w:rsid w:val="0008270A"/>
    <w:rsid w:val="00090F69"/>
    <w:rsid w:val="00091A55"/>
    <w:rsid w:val="0009530E"/>
    <w:rsid w:val="000A3FBB"/>
    <w:rsid w:val="000B02A7"/>
    <w:rsid w:val="000B31D4"/>
    <w:rsid w:val="000B53A0"/>
    <w:rsid w:val="000D65A9"/>
    <w:rsid w:val="000D6632"/>
    <w:rsid w:val="000E59A1"/>
    <w:rsid w:val="000F5A91"/>
    <w:rsid w:val="00103EC8"/>
    <w:rsid w:val="001128D6"/>
    <w:rsid w:val="001152E0"/>
    <w:rsid w:val="001309AA"/>
    <w:rsid w:val="00131324"/>
    <w:rsid w:val="00132E86"/>
    <w:rsid w:val="001479AA"/>
    <w:rsid w:val="00154293"/>
    <w:rsid w:val="00160D09"/>
    <w:rsid w:val="001675F7"/>
    <w:rsid w:val="00167EE1"/>
    <w:rsid w:val="001912FD"/>
    <w:rsid w:val="001A3EF7"/>
    <w:rsid w:val="001A647E"/>
    <w:rsid w:val="001B4E16"/>
    <w:rsid w:val="001B7D76"/>
    <w:rsid w:val="001C7872"/>
    <w:rsid w:val="001D1E62"/>
    <w:rsid w:val="001D21F1"/>
    <w:rsid w:val="001E3131"/>
    <w:rsid w:val="002177F0"/>
    <w:rsid w:val="00223030"/>
    <w:rsid w:val="00231FAA"/>
    <w:rsid w:val="00251BE3"/>
    <w:rsid w:val="002712D2"/>
    <w:rsid w:val="00284C82"/>
    <w:rsid w:val="00290D3A"/>
    <w:rsid w:val="002B6EF4"/>
    <w:rsid w:val="002C106D"/>
    <w:rsid w:val="002C1EB7"/>
    <w:rsid w:val="002C4EF7"/>
    <w:rsid w:val="002D2461"/>
    <w:rsid w:val="002D5CC0"/>
    <w:rsid w:val="002D61E5"/>
    <w:rsid w:val="002F2FC5"/>
    <w:rsid w:val="002F7E32"/>
    <w:rsid w:val="0030524A"/>
    <w:rsid w:val="0030774B"/>
    <w:rsid w:val="00317274"/>
    <w:rsid w:val="003212D6"/>
    <w:rsid w:val="003216CB"/>
    <w:rsid w:val="00321F31"/>
    <w:rsid w:val="003458DC"/>
    <w:rsid w:val="00347002"/>
    <w:rsid w:val="0034773E"/>
    <w:rsid w:val="00350321"/>
    <w:rsid w:val="00360F10"/>
    <w:rsid w:val="00363174"/>
    <w:rsid w:val="003666C1"/>
    <w:rsid w:val="00375543"/>
    <w:rsid w:val="00375E4C"/>
    <w:rsid w:val="00395428"/>
    <w:rsid w:val="003A3EF4"/>
    <w:rsid w:val="003A7783"/>
    <w:rsid w:val="003C3BF4"/>
    <w:rsid w:val="003E02BB"/>
    <w:rsid w:val="00407D54"/>
    <w:rsid w:val="00413183"/>
    <w:rsid w:val="004314EF"/>
    <w:rsid w:val="004367C7"/>
    <w:rsid w:val="0043788E"/>
    <w:rsid w:val="004407B2"/>
    <w:rsid w:val="00442524"/>
    <w:rsid w:val="004608DB"/>
    <w:rsid w:val="00465E2A"/>
    <w:rsid w:val="00465EBE"/>
    <w:rsid w:val="00466FBF"/>
    <w:rsid w:val="00485D05"/>
    <w:rsid w:val="00487613"/>
    <w:rsid w:val="00491504"/>
    <w:rsid w:val="004960D2"/>
    <w:rsid w:val="004B1922"/>
    <w:rsid w:val="004C3621"/>
    <w:rsid w:val="004C63EC"/>
    <w:rsid w:val="004C6D91"/>
    <w:rsid w:val="004D00FA"/>
    <w:rsid w:val="004D028D"/>
    <w:rsid w:val="004D158E"/>
    <w:rsid w:val="004D5686"/>
    <w:rsid w:val="004E0879"/>
    <w:rsid w:val="004E12FE"/>
    <w:rsid w:val="004E5F05"/>
    <w:rsid w:val="004F2549"/>
    <w:rsid w:val="004F7883"/>
    <w:rsid w:val="004F7939"/>
    <w:rsid w:val="004F7A35"/>
    <w:rsid w:val="004F7D07"/>
    <w:rsid w:val="00500865"/>
    <w:rsid w:val="00503969"/>
    <w:rsid w:val="005205F7"/>
    <w:rsid w:val="00536BE2"/>
    <w:rsid w:val="0054250F"/>
    <w:rsid w:val="00555A7C"/>
    <w:rsid w:val="0055775D"/>
    <w:rsid w:val="0056116D"/>
    <w:rsid w:val="00572FAA"/>
    <w:rsid w:val="0058104B"/>
    <w:rsid w:val="005816E7"/>
    <w:rsid w:val="00583B81"/>
    <w:rsid w:val="00595730"/>
    <w:rsid w:val="005A06E2"/>
    <w:rsid w:val="005A1BF2"/>
    <w:rsid w:val="005A1F98"/>
    <w:rsid w:val="005A6968"/>
    <w:rsid w:val="005B2C36"/>
    <w:rsid w:val="005C5F68"/>
    <w:rsid w:val="005D200C"/>
    <w:rsid w:val="005D7B87"/>
    <w:rsid w:val="006227C8"/>
    <w:rsid w:val="00630850"/>
    <w:rsid w:val="00630B29"/>
    <w:rsid w:val="00630EE2"/>
    <w:rsid w:val="006320B4"/>
    <w:rsid w:val="00636239"/>
    <w:rsid w:val="00653014"/>
    <w:rsid w:val="00653F6B"/>
    <w:rsid w:val="006565F7"/>
    <w:rsid w:val="00673AAF"/>
    <w:rsid w:val="006826A9"/>
    <w:rsid w:val="00690AEB"/>
    <w:rsid w:val="00691CAC"/>
    <w:rsid w:val="00695DF4"/>
    <w:rsid w:val="00695E93"/>
    <w:rsid w:val="006A1927"/>
    <w:rsid w:val="006A3056"/>
    <w:rsid w:val="006B36ED"/>
    <w:rsid w:val="006B6DDE"/>
    <w:rsid w:val="006C7181"/>
    <w:rsid w:val="006D2C14"/>
    <w:rsid w:val="006D534D"/>
    <w:rsid w:val="006E3D42"/>
    <w:rsid w:val="006F2937"/>
    <w:rsid w:val="006F6FF7"/>
    <w:rsid w:val="007064F2"/>
    <w:rsid w:val="00713ED3"/>
    <w:rsid w:val="00714BBF"/>
    <w:rsid w:val="00743485"/>
    <w:rsid w:val="00745F64"/>
    <w:rsid w:val="00746F60"/>
    <w:rsid w:val="00765024"/>
    <w:rsid w:val="00770507"/>
    <w:rsid w:val="00770989"/>
    <w:rsid w:val="007770B2"/>
    <w:rsid w:val="00777ADE"/>
    <w:rsid w:val="00785C9F"/>
    <w:rsid w:val="00790E0B"/>
    <w:rsid w:val="007A2616"/>
    <w:rsid w:val="007A31DF"/>
    <w:rsid w:val="007A3CEA"/>
    <w:rsid w:val="007A5DC6"/>
    <w:rsid w:val="007B2FB3"/>
    <w:rsid w:val="007C7106"/>
    <w:rsid w:val="007D1C56"/>
    <w:rsid w:val="007E6F59"/>
    <w:rsid w:val="007F1922"/>
    <w:rsid w:val="00802783"/>
    <w:rsid w:val="00817622"/>
    <w:rsid w:val="00820D7E"/>
    <w:rsid w:val="0083085D"/>
    <w:rsid w:val="008379DE"/>
    <w:rsid w:val="008416C4"/>
    <w:rsid w:val="00841B0D"/>
    <w:rsid w:val="008454F9"/>
    <w:rsid w:val="00846140"/>
    <w:rsid w:val="008476AD"/>
    <w:rsid w:val="00867690"/>
    <w:rsid w:val="00887AEA"/>
    <w:rsid w:val="00893801"/>
    <w:rsid w:val="00897EFD"/>
    <w:rsid w:val="008A7626"/>
    <w:rsid w:val="008C0C8E"/>
    <w:rsid w:val="008C48CF"/>
    <w:rsid w:val="008C598B"/>
    <w:rsid w:val="008D58EE"/>
    <w:rsid w:val="008E1010"/>
    <w:rsid w:val="008E7E36"/>
    <w:rsid w:val="0090608B"/>
    <w:rsid w:val="009063B4"/>
    <w:rsid w:val="009079FA"/>
    <w:rsid w:val="00915831"/>
    <w:rsid w:val="00926E0C"/>
    <w:rsid w:val="00932EB5"/>
    <w:rsid w:val="0093573F"/>
    <w:rsid w:val="00935A17"/>
    <w:rsid w:val="0093608E"/>
    <w:rsid w:val="00936D13"/>
    <w:rsid w:val="009527E6"/>
    <w:rsid w:val="009606B3"/>
    <w:rsid w:val="00972BEF"/>
    <w:rsid w:val="00990139"/>
    <w:rsid w:val="00991CC0"/>
    <w:rsid w:val="0099511C"/>
    <w:rsid w:val="0099757C"/>
    <w:rsid w:val="009A3E6A"/>
    <w:rsid w:val="009A520B"/>
    <w:rsid w:val="009C796B"/>
    <w:rsid w:val="009E6EF6"/>
    <w:rsid w:val="009F0EE1"/>
    <w:rsid w:val="009F50EA"/>
    <w:rsid w:val="00A028D6"/>
    <w:rsid w:val="00A03685"/>
    <w:rsid w:val="00A05A87"/>
    <w:rsid w:val="00A167F7"/>
    <w:rsid w:val="00A323C0"/>
    <w:rsid w:val="00A36C99"/>
    <w:rsid w:val="00A651C0"/>
    <w:rsid w:val="00A869CF"/>
    <w:rsid w:val="00AA4E87"/>
    <w:rsid w:val="00AB33D3"/>
    <w:rsid w:val="00AB4B95"/>
    <w:rsid w:val="00AC371F"/>
    <w:rsid w:val="00AC5D8D"/>
    <w:rsid w:val="00AD3DEC"/>
    <w:rsid w:val="00AD6D7D"/>
    <w:rsid w:val="00AE1939"/>
    <w:rsid w:val="00AF0201"/>
    <w:rsid w:val="00B06FB6"/>
    <w:rsid w:val="00B238FE"/>
    <w:rsid w:val="00B357E5"/>
    <w:rsid w:val="00B47FA2"/>
    <w:rsid w:val="00B65150"/>
    <w:rsid w:val="00B84498"/>
    <w:rsid w:val="00B964B3"/>
    <w:rsid w:val="00B96908"/>
    <w:rsid w:val="00BB6D76"/>
    <w:rsid w:val="00BC029C"/>
    <w:rsid w:val="00BC4663"/>
    <w:rsid w:val="00BD243E"/>
    <w:rsid w:val="00BF1473"/>
    <w:rsid w:val="00C030FB"/>
    <w:rsid w:val="00C03D6C"/>
    <w:rsid w:val="00C1072C"/>
    <w:rsid w:val="00C127E3"/>
    <w:rsid w:val="00C16385"/>
    <w:rsid w:val="00C2164C"/>
    <w:rsid w:val="00C228DE"/>
    <w:rsid w:val="00C27EC3"/>
    <w:rsid w:val="00C30B91"/>
    <w:rsid w:val="00C344EC"/>
    <w:rsid w:val="00C46B5E"/>
    <w:rsid w:val="00C74671"/>
    <w:rsid w:val="00C77BA6"/>
    <w:rsid w:val="00C874B1"/>
    <w:rsid w:val="00C96193"/>
    <w:rsid w:val="00CB178A"/>
    <w:rsid w:val="00CB1C21"/>
    <w:rsid w:val="00CB572C"/>
    <w:rsid w:val="00CB6FDF"/>
    <w:rsid w:val="00CD7BC1"/>
    <w:rsid w:val="00CE1878"/>
    <w:rsid w:val="00D36E8E"/>
    <w:rsid w:val="00D458D6"/>
    <w:rsid w:val="00D5675D"/>
    <w:rsid w:val="00D6329B"/>
    <w:rsid w:val="00D7166A"/>
    <w:rsid w:val="00D71A01"/>
    <w:rsid w:val="00D75412"/>
    <w:rsid w:val="00D83C81"/>
    <w:rsid w:val="00D91C30"/>
    <w:rsid w:val="00D96DA0"/>
    <w:rsid w:val="00DA4062"/>
    <w:rsid w:val="00DA5D22"/>
    <w:rsid w:val="00DA6B88"/>
    <w:rsid w:val="00DC6CEE"/>
    <w:rsid w:val="00DD1020"/>
    <w:rsid w:val="00DF6A3D"/>
    <w:rsid w:val="00E10C43"/>
    <w:rsid w:val="00E26B1B"/>
    <w:rsid w:val="00E417F8"/>
    <w:rsid w:val="00E44B31"/>
    <w:rsid w:val="00E52DAE"/>
    <w:rsid w:val="00E5587F"/>
    <w:rsid w:val="00E7428B"/>
    <w:rsid w:val="00E85FCC"/>
    <w:rsid w:val="00EA16B2"/>
    <w:rsid w:val="00EA256D"/>
    <w:rsid w:val="00EC4D5C"/>
    <w:rsid w:val="00EC5328"/>
    <w:rsid w:val="00ED1D4D"/>
    <w:rsid w:val="00ED2762"/>
    <w:rsid w:val="00ED4EEA"/>
    <w:rsid w:val="00EE05E5"/>
    <w:rsid w:val="00EE2484"/>
    <w:rsid w:val="00EE58DD"/>
    <w:rsid w:val="00EE768B"/>
    <w:rsid w:val="00EF6B3E"/>
    <w:rsid w:val="00F00F7D"/>
    <w:rsid w:val="00F1185F"/>
    <w:rsid w:val="00F14722"/>
    <w:rsid w:val="00F31B39"/>
    <w:rsid w:val="00F3722D"/>
    <w:rsid w:val="00F5241C"/>
    <w:rsid w:val="00F54303"/>
    <w:rsid w:val="00F55A08"/>
    <w:rsid w:val="00F61BD1"/>
    <w:rsid w:val="00F74CA7"/>
    <w:rsid w:val="00F80743"/>
    <w:rsid w:val="00F81505"/>
    <w:rsid w:val="00F8574E"/>
    <w:rsid w:val="00F8608F"/>
    <w:rsid w:val="00F87139"/>
    <w:rsid w:val="00FA2CD5"/>
    <w:rsid w:val="00FA6EA0"/>
    <w:rsid w:val="00FB1EA4"/>
    <w:rsid w:val="00FB4C76"/>
    <w:rsid w:val="00FD2F66"/>
    <w:rsid w:val="00FE0596"/>
    <w:rsid w:val="00FE659F"/>
    <w:rsid w:val="00FF4A07"/>
    <w:rsid w:val="03A25AD1"/>
    <w:rsid w:val="25F20195"/>
    <w:rsid w:val="70A300D0"/>
    <w:rsid w:val="73E2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jc w:val="both"/>
    </w:pPr>
    <w:rPr>
      <w:sz w:val="28"/>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Hyperlink"/>
    <w:basedOn w:val="8"/>
    <w:uiPriority w:val="0"/>
    <w:rPr>
      <w:color w:val="0000FF" w:themeColor="hyperlink"/>
      <w:u w:val="single"/>
      <w14:textFill>
        <w14:solidFill>
          <w14:schemeClr w14:val="hlink"/>
        </w14:solidFill>
      </w14:textFill>
    </w:rPr>
  </w:style>
  <w:style w:type="character" w:customStyle="1" w:styleId="11">
    <w:name w:val="页眉 字符"/>
    <w:link w:val="6"/>
    <w:uiPriority w:val="0"/>
    <w:rPr>
      <w:sz w:val="18"/>
      <w:szCs w:val="18"/>
    </w:rPr>
  </w:style>
  <w:style w:type="character" w:customStyle="1" w:styleId="12">
    <w:name w:val="页脚 字符"/>
    <w:link w:val="5"/>
    <w:uiPriority w:val="0"/>
    <w:rPr>
      <w:sz w:val="18"/>
      <w:szCs w:val="18"/>
    </w:rPr>
  </w:style>
  <w:style w:type="paragraph" w:customStyle="1" w:styleId="13">
    <w:name w:val="批注框文本1"/>
    <w:basedOn w:val="1"/>
    <w:semiHidden/>
    <w:uiPriority w:val="0"/>
    <w:rPr>
      <w:sz w:val="16"/>
      <w:szCs w:val="16"/>
    </w:rPr>
  </w:style>
  <w:style w:type="paragraph" w:styleId="14">
    <w:name w:val="List Paragraph"/>
    <w:basedOn w:val="1"/>
    <w:qFormat/>
    <w:uiPriority w:val="99"/>
    <w:pPr>
      <w:ind w:firstLine="420" w:firstLineChars="200"/>
    </w:pPr>
  </w:style>
  <w:style w:type="character" w:customStyle="1" w:styleId="1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physics</Company>
  <Pages>6</Pages>
  <Words>427</Words>
  <Characters>2434</Characters>
  <Lines>20</Lines>
  <Paragraphs>5</Paragraphs>
  <TotalTime>22</TotalTime>
  <ScaleCrop>false</ScaleCrop>
  <LinksUpToDate>false</LinksUpToDate>
  <CharactersWithSpaces>2856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2021-08-27T03:46:00Z</dcterms:created>
  <dc:creator>zhengbaojin</dc:creator>
  <cp:lastModifiedBy>程丹</cp:lastModifiedBy>
  <cp:lastPrinted>2021-08-27T23:39:00Z</cp:lastPrinted>
  <dcterms:modified xsi:type="dcterms:W3CDTF">2021-09-03T09:45:02Z</dcterms:modified>
  <dc:title>物理科学学院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BE9150F2277F40F885761157F17DF581</vt:lpwstr>
  </property>
</Properties>
</file>